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Unit Rubric</w:t>
      </w:r>
    </w:p>
    <w:p>
      <w:pPr>
        <w:spacing w:after="40" w:before="0"/>
        <w:jc w:val="center"/>
      </w:pPr>
      <w:r>
        <w:rPr>
          <w:b/>
          <w:i w:val="0"/>
          <w:sz w:val="26"/>
        </w:rPr>
        <w:t>Number &amp; Operations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BC Proficiency Scale. Grade 5 students are assessed on the core skills; the Grade 6 row (and Extending column) capture the extension work.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84"/>
        <w:gridCol w:w="2784"/>
        <w:gridCol w:w="2784"/>
        <w:gridCol w:w="2784"/>
        <w:gridCol w:w="2784"/>
      </w:tblGrid>
      <w:tr>
        <w:tc>
          <w:tcPr>
            <w:tcW w:type="dxa" w:w="2736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0"/>
              </w:rPr>
              <w:t>Criteria</w:t>
            </w:r>
          </w:p>
        </w:tc>
        <w:tc>
          <w:tcPr>
            <w:tcW w:type="dxa" w:w="3168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0"/>
              </w:rPr>
              <w:t>Emerging</w:t>
            </w:r>
          </w:p>
        </w:tc>
        <w:tc>
          <w:tcPr>
            <w:tcW w:type="dxa" w:w="3168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0"/>
              </w:rPr>
              <w:t>Developing</w:t>
            </w:r>
          </w:p>
        </w:tc>
        <w:tc>
          <w:tcPr>
            <w:tcW w:type="dxa" w:w="3600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0"/>
              </w:rPr>
              <w:t>Proficient</w:t>
            </w:r>
          </w:p>
        </w:tc>
        <w:tc>
          <w:tcPr>
            <w:tcW w:type="dxa" w:w="3600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0"/>
              </w:rPr>
              <w:t>Extending</w:t>
            </w:r>
          </w:p>
        </w:tc>
      </w:tr>
      <w:tr>
        <w:tc>
          <w:tcPr>
            <w:tcW w:type="dxa" w:w="2736"/>
            <w:shd w:val="clear" w:color="auto" w:fill="EAF2F3"/>
          </w:tcPr>
          <w:p>
            <w:pPr>
              <w:spacing w:after="40" w:before="40"/>
            </w:pPr>
            <w:r/>
            <w:r>
              <w:rPr>
                <w:b/>
                <w:i w:val="0"/>
                <w:sz w:val="19"/>
              </w:rPr>
              <w:t>Number &amp; Place Value</w:t>
            </w:r>
          </w:p>
        </w:tc>
        <w:tc>
          <w:tcPr>
            <w:tcW w:type="dxa" w:w="3168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With support, reads or compares numbers to 1 000 000.</w:t>
            </w:r>
          </w:p>
        </w:tc>
        <w:tc>
          <w:tcPr>
            <w:tcW w:type="dxa" w:w="3168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Reads and compares numbers to 1 000 000 with some errors.</w:t>
            </w:r>
          </w:p>
        </w:tc>
        <w:tc>
          <w:tcPr>
            <w:tcW w:type="dxa" w:w="360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Reads, writes, and compares numbers to 1 000 000 using place value.</w:t>
            </w:r>
          </w:p>
        </w:tc>
        <w:tc>
          <w:tcPr>
            <w:tcW w:type="dxa" w:w="360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Extends fluently to billions and thousandths (Gr 6).</w:t>
            </w:r>
          </w:p>
        </w:tc>
      </w:tr>
      <w:tr>
        <w:tc>
          <w:tcPr>
            <w:tcW w:type="dxa" w:w="2736"/>
            <w:shd w:val="clear" w:color="auto" w:fill="EAF2F3"/>
          </w:tcPr>
          <w:p>
            <w:pPr>
              <w:spacing w:after="40" w:before="40"/>
            </w:pPr>
            <w:r/>
            <w:r>
              <w:rPr>
                <w:b/>
                <w:i w:val="0"/>
                <w:sz w:val="19"/>
              </w:rPr>
              <w:t>Operations (+, -, x, div)</w:t>
            </w:r>
          </w:p>
        </w:tc>
        <w:tc>
          <w:tcPr>
            <w:tcW w:type="dxa" w:w="3168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Attempts operations with support; frequent errors.</w:t>
            </w:r>
          </w:p>
        </w:tc>
        <w:tc>
          <w:tcPr>
            <w:tcW w:type="dxa" w:w="3168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Computes with whole numbers; some regrouping or fact errors.</w:t>
            </w:r>
          </w:p>
        </w:tc>
        <w:tc>
          <w:tcPr>
            <w:tcW w:type="dxa" w:w="360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Adds, subtracts, multiplies (to 3 digits) and divides (with remainders) accurately.</w:t>
            </w:r>
          </w:p>
        </w:tc>
        <w:tc>
          <w:tcPr>
            <w:tcW w:type="dxa" w:w="360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Applies order of operations and works with larger numbers (Gr 6).</w:t>
            </w:r>
          </w:p>
        </w:tc>
      </w:tr>
      <w:tr>
        <w:tc>
          <w:tcPr>
            <w:tcW w:type="dxa" w:w="2736"/>
            <w:shd w:val="clear" w:color="auto" w:fill="EAF2F3"/>
          </w:tcPr>
          <w:p>
            <w:pPr>
              <w:spacing w:after="40" w:before="40"/>
            </w:pPr>
            <w:r/>
            <w:r>
              <w:rPr>
                <w:b/>
                <w:i w:val="0"/>
                <w:sz w:val="19"/>
              </w:rPr>
              <w:t>Decimals</w:t>
            </w:r>
          </w:p>
        </w:tc>
        <w:tc>
          <w:tcPr>
            <w:tcW w:type="dxa" w:w="3168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Identifies decimals with support.</w:t>
            </w:r>
          </w:p>
        </w:tc>
        <w:tc>
          <w:tcPr>
            <w:tcW w:type="dxa" w:w="3168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Reads and compares decimals with some errors.</w:t>
            </w:r>
          </w:p>
        </w:tc>
        <w:tc>
          <w:tcPr>
            <w:tcW w:type="dxa" w:w="360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Reads, compares, adds, and subtracts decimals to thousandths.</w:t>
            </w:r>
          </w:p>
        </w:tc>
        <w:tc>
          <w:tcPr>
            <w:tcW w:type="dxa" w:w="360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Multiplies and divides decimals; links decimals, fractions, percents (Gr 6).</w:t>
            </w:r>
          </w:p>
        </w:tc>
      </w:tr>
      <w:tr>
        <w:tc>
          <w:tcPr>
            <w:tcW w:type="dxa" w:w="2736"/>
            <w:shd w:val="clear" w:color="auto" w:fill="EAF2F3"/>
          </w:tcPr>
          <w:p>
            <w:pPr>
              <w:spacing w:after="40" w:before="40"/>
            </w:pPr>
            <w:r/>
            <w:r>
              <w:rPr>
                <w:b/>
                <w:i w:val="0"/>
                <w:sz w:val="19"/>
              </w:rPr>
              <w:t>Estimating &amp; Mental Math</w:t>
            </w:r>
          </w:p>
        </w:tc>
        <w:tc>
          <w:tcPr>
            <w:tcW w:type="dxa" w:w="3168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Uses a strategy with prompting.</w:t>
            </w:r>
          </w:p>
        </w:tc>
        <w:tc>
          <w:tcPr>
            <w:tcW w:type="dxa" w:w="3168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Estimates or uses a strategy inconsistently.</w:t>
            </w:r>
          </w:p>
        </w:tc>
        <w:tc>
          <w:tcPr>
            <w:tcW w:type="dxa" w:w="360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Estimates reasonably and chooses efficient mental-math strategies.</w:t>
            </w:r>
          </w:p>
        </w:tc>
        <w:tc>
          <w:tcPr>
            <w:tcW w:type="dxa" w:w="360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Selects and justifies the most efficient strategy.</w:t>
            </w:r>
          </w:p>
        </w:tc>
      </w:tr>
      <w:tr>
        <w:tc>
          <w:tcPr>
            <w:tcW w:type="dxa" w:w="2736"/>
            <w:shd w:val="clear" w:color="auto" w:fill="EAF2F3"/>
          </w:tcPr>
          <w:p>
            <w:pPr>
              <w:spacing w:after="40" w:before="40"/>
            </w:pPr>
            <w:r/>
            <w:r>
              <w:rPr>
                <w:b/>
                <w:i w:val="0"/>
                <w:sz w:val="19"/>
              </w:rPr>
              <w:t>Problem Solving &amp; Communicating</w:t>
            </w:r>
          </w:p>
        </w:tc>
        <w:tc>
          <w:tcPr>
            <w:tcW w:type="dxa" w:w="3168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Shows little of the thinking.</w:t>
            </w:r>
          </w:p>
        </w:tc>
        <w:tc>
          <w:tcPr>
            <w:tcW w:type="dxa" w:w="3168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Shows some thinking; solution partly clear.</w:t>
            </w:r>
          </w:p>
        </w:tc>
        <w:tc>
          <w:tcPr>
            <w:tcW w:type="dxa" w:w="360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Solves multi-step problems and clearly shows and explains thinking.</w:t>
            </w:r>
          </w:p>
        </w:tc>
        <w:tc>
          <w:tcPr>
            <w:tcW w:type="dxa" w:w="3600"/>
          </w:tcPr>
          <w:p>
            <w:pPr>
              <w:spacing w:after="40" w:before="40"/>
            </w:pPr>
            <w:r/>
            <w:r>
              <w:rPr>
                <w:b w:val="0"/>
                <w:i w:val="0"/>
                <w:sz w:val="18"/>
              </w:rPr>
              <w:t>Justifies reasoning and connects to real-life contexts.</w:t>
            </w:r>
          </w:p>
        </w:tc>
      </w:tr>
    </w:tbl>
    <w:p>
      <w:pPr>
        <w:spacing w:after="120" w:before="0"/>
      </w:pPr>
      <w:r>
        <w:rPr>
          <w:b w:val="0"/>
          <w:i w:val="0"/>
          <w:sz w:val="8"/>
        </w:rPr>
      </w:r>
    </w:p>
    <w:p>
      <w:pPr>
        <w:spacing w:after="40" w:before="120"/>
      </w:pPr>
      <w:r>
        <w:rPr>
          <w:b/>
          <w:i w:val="0"/>
          <w:sz w:val="22"/>
        </w:rPr>
        <w:t>Student: ______________________________     Overall (circle):   Emerging    Developing    Proficient    Extending</w:t>
      </w:r>
    </w:p>
    <w:sectPr w:rsidR="00FC693F" w:rsidRPr="0006063C" w:rsidSect="00034616">
      <w:pgSz w:w="15840" w:h="12240" w:orient="landscape"/>
      <w:pgMar w:top="960" w:right="960" w:bottom="960" w:left="9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